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81382" w14:textId="77777777" w:rsidR="005D7FC6" w:rsidRPr="005D7FC6" w:rsidRDefault="005D7FC6" w:rsidP="005D7FC6">
      <w:pPr>
        <w:spacing w:after="0"/>
        <w:jc w:val="center"/>
        <w:rPr>
          <w:rFonts w:ascii="Cambria" w:hAnsi="Cambria"/>
          <w:b/>
          <w:sz w:val="40"/>
          <w:szCs w:val="40"/>
        </w:rPr>
      </w:pPr>
      <w:r w:rsidRPr="005D7FC6">
        <w:rPr>
          <w:rFonts w:ascii="Cambria" w:hAnsi="Cambria"/>
          <w:b/>
          <w:sz w:val="40"/>
          <w:szCs w:val="40"/>
        </w:rPr>
        <w:t>INSETTI ALIENI, È ALLARME INVASIONE. IN ITALIA +9% DI IMBALLAGGI IN LEGNO SOTTOPOSTI A TRATTAMENTI FITOSANITARI SOLO NEL PRIMO SEMESTRE DEL 2017</w:t>
      </w:r>
    </w:p>
    <w:p w14:paraId="78D14F9E" w14:textId="77777777" w:rsidR="005D7FC6" w:rsidRPr="005D7FC6" w:rsidRDefault="005D7FC6" w:rsidP="005D7FC6">
      <w:pPr>
        <w:spacing w:after="0"/>
        <w:jc w:val="center"/>
        <w:rPr>
          <w:rFonts w:ascii="Cambria" w:eastAsia="Times New Roman" w:hAnsi="Cambria" w:cs="Arial"/>
          <w:b/>
          <w:sz w:val="36"/>
          <w:szCs w:val="36"/>
          <w:shd w:val="clear" w:color="auto" w:fill="FFFFFF"/>
          <w:lang w:eastAsia="it-IT"/>
        </w:rPr>
      </w:pPr>
    </w:p>
    <w:p w14:paraId="3EEE38C3" w14:textId="61BD8347" w:rsidR="005D7FC6" w:rsidRPr="005D7FC6" w:rsidRDefault="005D7FC6" w:rsidP="005D7FC6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5D7FC6">
        <w:rPr>
          <w:rFonts w:ascii="Cambria" w:hAnsi="Cambria"/>
          <w:b/>
          <w:sz w:val="28"/>
          <w:szCs w:val="28"/>
        </w:rPr>
        <w:t xml:space="preserve">Dall’Asia all’Africa, i parassiti killer trasportati con gli scambi commerciali stanno mettendo a rischio l’ecosistema creando danni all’agricoltura mondiale. </w:t>
      </w:r>
      <w:r>
        <w:rPr>
          <w:rFonts w:ascii="Cambria" w:hAnsi="Cambria"/>
          <w:b/>
          <w:sz w:val="28"/>
          <w:szCs w:val="28"/>
        </w:rPr>
        <w:t xml:space="preserve"> </w:t>
      </w:r>
      <w:bookmarkStart w:id="0" w:name="_GoBack"/>
      <w:bookmarkEnd w:id="0"/>
      <w:r w:rsidRPr="005D7FC6">
        <w:rPr>
          <w:rFonts w:ascii="Cambria" w:hAnsi="Cambria"/>
          <w:b/>
          <w:sz w:val="28"/>
          <w:szCs w:val="28"/>
        </w:rPr>
        <w:t xml:space="preserve">Un esempio virtuoso per l’export globale è l’Italia, unico paese dotato di un codice di Rintracciabilità Fitosanitaria, garanzia di sicurezza per utilizzatori, produttori e ambiente. </w:t>
      </w:r>
    </w:p>
    <w:p w14:paraId="540454B9" w14:textId="77777777" w:rsidR="005D7FC6" w:rsidRPr="005D7FC6" w:rsidRDefault="005D7FC6" w:rsidP="005D7FC6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14:paraId="45332CC6" w14:textId="77777777" w:rsidR="005D7FC6" w:rsidRPr="005D7FC6" w:rsidRDefault="005D7FC6" w:rsidP="005D7FC6">
      <w:pPr>
        <w:spacing w:after="0"/>
        <w:jc w:val="both"/>
        <w:rPr>
          <w:rFonts w:eastAsia="Times New Roman" w:cs="Arial"/>
          <w:shd w:val="clear" w:color="auto" w:fill="FFFFFF"/>
          <w:lang w:eastAsia="it-IT"/>
        </w:rPr>
      </w:pPr>
      <w:r w:rsidRPr="005D7FC6">
        <w:rPr>
          <w:rFonts w:eastAsia="Times New Roman" w:cs="Arial"/>
          <w:shd w:val="clear" w:color="auto" w:fill="FFFFFF"/>
          <w:lang w:eastAsia="it-IT"/>
        </w:rPr>
        <w:t xml:space="preserve">Devastano coltivazioni, giardini, campi sportivi e danneggiano il verde urbano. Si tratta dei </w:t>
      </w:r>
      <w:r w:rsidRPr="005D7FC6">
        <w:rPr>
          <w:rFonts w:eastAsia="Times New Roman" w:cs="Arial"/>
          <w:b/>
          <w:shd w:val="clear" w:color="auto" w:fill="FFFFFF"/>
          <w:lang w:eastAsia="it-IT"/>
        </w:rPr>
        <w:t>parassiti killer che da anni minacciano piante e colture in Italia</w:t>
      </w:r>
      <w:r w:rsidRPr="005D7FC6">
        <w:rPr>
          <w:rFonts w:eastAsia="Times New Roman" w:cs="Arial"/>
          <w:shd w:val="clear" w:color="auto" w:fill="FFFFFF"/>
          <w:lang w:eastAsia="it-IT"/>
        </w:rPr>
        <w:t xml:space="preserve">. Dalla </w:t>
      </w:r>
      <w:proofErr w:type="spellStart"/>
      <w:r w:rsidRPr="005D7FC6">
        <w:rPr>
          <w:rFonts w:eastAsia="Times New Roman" w:cs="Arial"/>
          <w:i/>
          <w:shd w:val="clear" w:color="auto" w:fill="FFFFFF"/>
          <w:lang w:eastAsia="it-IT"/>
        </w:rPr>
        <w:t>Popilla</w:t>
      </w:r>
      <w:proofErr w:type="spellEnd"/>
      <w:r w:rsidRPr="005D7FC6">
        <w:rPr>
          <w:rFonts w:eastAsia="Times New Roman" w:cs="Arial"/>
          <w:i/>
          <w:shd w:val="clear" w:color="auto" w:fill="FFFFFF"/>
          <w:lang w:eastAsia="it-IT"/>
        </w:rPr>
        <w:t xml:space="preserve"> </w:t>
      </w:r>
      <w:proofErr w:type="spellStart"/>
      <w:r w:rsidRPr="005D7FC6">
        <w:rPr>
          <w:rFonts w:eastAsia="Times New Roman" w:cs="Arial"/>
          <w:i/>
          <w:shd w:val="clear" w:color="auto" w:fill="FFFFFF"/>
          <w:lang w:eastAsia="it-IT"/>
        </w:rPr>
        <w:t>Japonica</w:t>
      </w:r>
      <w:proofErr w:type="spellEnd"/>
      <w:r w:rsidRPr="005D7FC6">
        <w:rPr>
          <w:rFonts w:eastAsia="Times New Roman" w:cs="Arial"/>
          <w:shd w:val="clear" w:color="auto" w:fill="FFFFFF"/>
          <w:lang w:eastAsia="it-IT"/>
        </w:rPr>
        <w:t xml:space="preserve">, che sta distruggendo la vegetazione tra Lombardia e Piemonte, alla </w:t>
      </w:r>
      <w:proofErr w:type="spellStart"/>
      <w:r w:rsidRPr="005D7FC6">
        <w:rPr>
          <w:rFonts w:eastAsia="Times New Roman" w:cs="Arial"/>
          <w:i/>
          <w:shd w:val="clear" w:color="auto" w:fill="FFFFFF"/>
          <w:lang w:eastAsia="it-IT"/>
        </w:rPr>
        <w:t>Xylella</w:t>
      </w:r>
      <w:proofErr w:type="spellEnd"/>
      <w:r w:rsidRPr="005D7FC6">
        <w:rPr>
          <w:rFonts w:eastAsia="Times New Roman" w:cs="Arial"/>
          <w:i/>
          <w:shd w:val="clear" w:color="auto" w:fill="FFFFFF"/>
          <w:lang w:eastAsia="it-IT"/>
        </w:rPr>
        <w:t xml:space="preserve"> fastidiosa</w:t>
      </w:r>
      <w:r w:rsidRPr="005D7FC6">
        <w:rPr>
          <w:rFonts w:eastAsia="Times New Roman" w:cs="Arial"/>
          <w:shd w:val="clear" w:color="auto" w:fill="FFFFFF"/>
          <w:lang w:eastAsia="it-IT"/>
        </w:rPr>
        <w:t xml:space="preserve">, che ha fatto strage di ulivi nel Salento, fino al </w:t>
      </w:r>
      <w:proofErr w:type="spellStart"/>
      <w:r w:rsidRPr="005D7FC6">
        <w:rPr>
          <w:rFonts w:eastAsia="Times New Roman" w:cs="Arial"/>
          <w:i/>
          <w:shd w:val="clear" w:color="auto" w:fill="FFFFFF"/>
          <w:lang w:eastAsia="it-IT"/>
        </w:rPr>
        <w:t>Rhynchophorus</w:t>
      </w:r>
      <w:proofErr w:type="spellEnd"/>
      <w:r w:rsidRPr="005D7FC6">
        <w:rPr>
          <w:rFonts w:eastAsia="Times New Roman" w:cs="Arial"/>
          <w:i/>
          <w:shd w:val="clear" w:color="auto" w:fill="FFFFFF"/>
          <w:lang w:eastAsia="it-IT"/>
        </w:rPr>
        <w:t xml:space="preserve"> </w:t>
      </w:r>
      <w:proofErr w:type="spellStart"/>
      <w:r w:rsidRPr="005D7FC6">
        <w:rPr>
          <w:rFonts w:eastAsia="Times New Roman" w:cs="Arial"/>
          <w:i/>
          <w:shd w:val="clear" w:color="auto" w:fill="FFFFFF"/>
          <w:lang w:eastAsia="it-IT"/>
        </w:rPr>
        <w:t>ferrugineus</w:t>
      </w:r>
      <w:proofErr w:type="spellEnd"/>
      <w:r w:rsidRPr="005D7FC6">
        <w:rPr>
          <w:rFonts w:eastAsia="Times New Roman" w:cs="Arial"/>
          <w:shd w:val="clear" w:color="auto" w:fill="FFFFFF"/>
          <w:lang w:eastAsia="it-IT"/>
        </w:rPr>
        <w:t xml:space="preserve">, meglio conosciuto come </w:t>
      </w:r>
      <w:r w:rsidRPr="005D7FC6">
        <w:rPr>
          <w:rFonts w:eastAsia="Times New Roman" w:cs="Arial"/>
          <w:i/>
          <w:shd w:val="clear" w:color="auto" w:fill="FFFFFF"/>
          <w:lang w:eastAsia="it-IT"/>
        </w:rPr>
        <w:t>punteruolo rosso</w:t>
      </w:r>
      <w:r w:rsidRPr="005D7FC6">
        <w:rPr>
          <w:rFonts w:eastAsia="Times New Roman" w:cs="Arial"/>
          <w:shd w:val="clear" w:color="auto" w:fill="FFFFFF"/>
          <w:lang w:eastAsia="it-IT"/>
        </w:rPr>
        <w:t>, che ha flagellato le palme in Sicilia, Campania, Calabria, Lazio, Liguria, Abruzzo e Molise. Sono solo alcuni dei numerosi insetti alieni provenienti da altri continenti che a causa dell’intensificarsi degli scambi commerciali sono arrivati in Italia, dove hanno trovato un habitat favorevole in seguito ai cambiamenti climatici.</w:t>
      </w:r>
    </w:p>
    <w:p w14:paraId="57499387" w14:textId="77777777" w:rsidR="005D7FC6" w:rsidRPr="005D7FC6" w:rsidRDefault="005D7FC6" w:rsidP="005D7FC6">
      <w:pPr>
        <w:spacing w:after="0"/>
        <w:jc w:val="both"/>
        <w:rPr>
          <w:rFonts w:eastAsia="Times New Roman" w:cs="Arial"/>
          <w:shd w:val="clear" w:color="auto" w:fill="FFFFFF"/>
          <w:lang w:eastAsia="it-IT"/>
        </w:rPr>
      </w:pPr>
      <w:r w:rsidRPr="005D7FC6">
        <w:rPr>
          <w:rFonts w:eastAsia="Times New Roman" w:cs="Arial"/>
          <w:b/>
          <w:shd w:val="clear" w:color="auto" w:fill="FFFFFF"/>
          <w:lang w:eastAsia="it-IT"/>
        </w:rPr>
        <w:t>La soluzione secondo gli esperti? Potenziare la ricerca, la prevenzione e i controlli alle frontiere</w:t>
      </w:r>
      <w:r w:rsidRPr="005D7FC6">
        <w:rPr>
          <w:rFonts w:eastAsia="Times New Roman" w:cs="Arial"/>
          <w:shd w:val="clear" w:color="auto" w:fill="FFFFFF"/>
          <w:lang w:eastAsia="it-IT"/>
        </w:rPr>
        <w:t>. Atteggiamento condiviso anche dagli imprenditori coinvolti nell’import-export che sempre più spesso dimostrano una crescente attenzione all’ambiente adottando misure atte a tutelare il sistema produttivo italiano e che allo stesso tempo combattono il problema della contraffazione.</w:t>
      </w:r>
    </w:p>
    <w:p w14:paraId="3CAD7597" w14:textId="77777777" w:rsidR="005D7FC6" w:rsidRPr="005D7FC6" w:rsidRDefault="005D7FC6" w:rsidP="005D7FC6">
      <w:pPr>
        <w:spacing w:after="0"/>
        <w:jc w:val="both"/>
        <w:rPr>
          <w:rFonts w:eastAsia="Times New Roman" w:cs="Arial"/>
          <w:shd w:val="clear" w:color="auto" w:fill="FFFFFF"/>
          <w:lang w:eastAsia="it-IT"/>
        </w:rPr>
      </w:pPr>
      <w:r w:rsidRPr="005D7FC6">
        <w:rPr>
          <w:rFonts w:eastAsia="Times New Roman" w:cs="Arial"/>
          <w:shd w:val="clear" w:color="auto" w:fill="FFFFFF"/>
          <w:lang w:eastAsia="it-IT"/>
        </w:rPr>
        <w:t xml:space="preserve">La maggior parte dei Paesi hanno infatti deciso di procedere all’adozione, in seno alla Convenzione Internazionale per la Protezione delle Piante della FAO, dello </w:t>
      </w:r>
      <w:r w:rsidRPr="005D7FC6">
        <w:rPr>
          <w:rFonts w:eastAsia="Times New Roman" w:cs="Arial"/>
          <w:b/>
          <w:shd w:val="clear" w:color="auto" w:fill="FFFFFF"/>
          <w:lang w:eastAsia="it-IT"/>
        </w:rPr>
        <w:t>standard ISPM 15</w:t>
      </w:r>
      <w:r w:rsidRPr="005D7FC6">
        <w:rPr>
          <w:rFonts w:eastAsia="Times New Roman" w:cs="Arial"/>
          <w:shd w:val="clear" w:color="auto" w:fill="FFFFFF"/>
          <w:lang w:eastAsia="it-IT"/>
        </w:rPr>
        <w:t xml:space="preserve"> che impone alle nazioni di utilizzare legno sottoposto a specifici trattamenti approvati e contraddistinti dal marchio </w:t>
      </w:r>
      <w:r w:rsidRPr="005D7FC6">
        <w:rPr>
          <w:rFonts w:eastAsia="Times New Roman" w:cs="Arial"/>
          <w:b/>
          <w:shd w:val="clear" w:color="auto" w:fill="FFFFFF"/>
          <w:lang w:eastAsia="it-IT"/>
        </w:rPr>
        <w:t>IPPC/FAO</w:t>
      </w:r>
      <w:r w:rsidRPr="005D7FC6">
        <w:rPr>
          <w:rFonts w:eastAsia="Times New Roman" w:cs="Arial"/>
          <w:shd w:val="clear" w:color="auto" w:fill="FFFFFF"/>
          <w:lang w:eastAsia="it-IT"/>
        </w:rPr>
        <w:t xml:space="preserve"> di cui </w:t>
      </w:r>
      <w:proofErr w:type="spellStart"/>
      <w:r w:rsidRPr="005D7FC6">
        <w:rPr>
          <w:rFonts w:eastAsia="Times New Roman" w:cs="Arial"/>
          <w:b/>
          <w:i/>
          <w:shd w:val="clear" w:color="auto" w:fill="FFFFFF"/>
          <w:lang w:eastAsia="it-IT"/>
        </w:rPr>
        <w:t>ConLegno</w:t>
      </w:r>
      <w:proofErr w:type="spellEnd"/>
      <w:r w:rsidRPr="005D7FC6">
        <w:rPr>
          <w:rFonts w:eastAsia="Times New Roman" w:cs="Arial"/>
          <w:b/>
          <w:shd w:val="clear" w:color="auto" w:fill="FFFFFF"/>
          <w:lang w:eastAsia="it-IT"/>
        </w:rPr>
        <w:t xml:space="preserve"> (Consorzio Servizi Legno Sughero)</w:t>
      </w:r>
      <w:r w:rsidRPr="005D7FC6">
        <w:rPr>
          <w:rFonts w:eastAsia="Times New Roman" w:cs="Arial"/>
          <w:shd w:val="clear" w:color="auto" w:fill="FFFFFF"/>
          <w:lang w:eastAsia="it-IT"/>
        </w:rPr>
        <w:t xml:space="preserve">, con il suo comitato tecnico </w:t>
      </w:r>
      <w:r w:rsidRPr="005D7FC6">
        <w:rPr>
          <w:rFonts w:eastAsia="Times New Roman" w:cs="Arial"/>
          <w:b/>
          <w:shd w:val="clear" w:color="auto" w:fill="FFFFFF"/>
          <w:lang w:eastAsia="it-IT"/>
        </w:rPr>
        <w:t>FITOK</w:t>
      </w:r>
      <w:r w:rsidRPr="005D7FC6">
        <w:rPr>
          <w:rFonts w:eastAsia="Times New Roman" w:cs="Arial"/>
          <w:shd w:val="clear" w:color="auto" w:fill="FFFFFF"/>
          <w:lang w:eastAsia="it-IT"/>
        </w:rPr>
        <w:t xml:space="preserve">, è stato riconosciuto come </w:t>
      </w:r>
      <w:r w:rsidRPr="005D7FC6">
        <w:rPr>
          <w:rFonts w:eastAsia="Times New Roman" w:cs="Arial"/>
          <w:b/>
          <w:shd w:val="clear" w:color="auto" w:fill="FFFFFF"/>
          <w:lang w:eastAsia="it-IT"/>
        </w:rPr>
        <w:t>soggetto gestore per l’Italia dal 2005</w:t>
      </w:r>
      <w:r w:rsidRPr="005D7FC6">
        <w:rPr>
          <w:rFonts w:eastAsia="Times New Roman" w:cs="Arial"/>
          <w:shd w:val="clear" w:color="auto" w:fill="FFFFFF"/>
          <w:lang w:eastAsia="it-IT"/>
        </w:rPr>
        <w:t>. Tutti gli imballaggi destinati a esportazioni extra-UE infatti escono dall’Italia con il marchio IPPC/FAO-FITOK.</w:t>
      </w:r>
    </w:p>
    <w:p w14:paraId="6584E9A3" w14:textId="77777777" w:rsidR="005D7FC6" w:rsidRPr="005D7FC6" w:rsidRDefault="005D7FC6" w:rsidP="005D7FC6">
      <w:pPr>
        <w:spacing w:after="0"/>
        <w:jc w:val="both"/>
        <w:rPr>
          <w:rFonts w:eastAsia="Times New Roman" w:cs="Arial"/>
          <w:shd w:val="clear" w:color="auto" w:fill="FFFFFF"/>
          <w:lang w:eastAsia="it-IT"/>
        </w:rPr>
      </w:pPr>
    </w:p>
    <w:p w14:paraId="3703EC81" w14:textId="77777777" w:rsidR="005D7FC6" w:rsidRPr="005D7FC6" w:rsidRDefault="005D7FC6" w:rsidP="005D7FC6">
      <w:pPr>
        <w:spacing w:after="0"/>
        <w:jc w:val="both"/>
        <w:rPr>
          <w:rFonts w:eastAsia="Times New Roman" w:cs="Arial"/>
          <w:shd w:val="clear" w:color="auto" w:fill="FFFFFF"/>
          <w:lang w:eastAsia="it-IT"/>
        </w:rPr>
      </w:pPr>
      <w:r w:rsidRPr="005D7FC6">
        <w:rPr>
          <w:rFonts w:eastAsia="Times New Roman" w:cs="Arial"/>
          <w:shd w:val="clear" w:color="auto" w:fill="FFFFFF"/>
          <w:lang w:eastAsia="it-IT"/>
        </w:rPr>
        <w:t xml:space="preserve">“È proprio grazie a questo riconoscimento che si è lavorato in questi anni in stretta collaborazione con il Ministero delle Politiche Agricole, Alimentari e Forestali, i Servizi Fitosanitari ed il settore industriale/artigianale per approfondire e migliorare, giorno dopo giorno, le tematiche tecniche inerenti lo standard ISPM-15 – sottolinea </w:t>
      </w:r>
      <w:r w:rsidRPr="005D7FC6">
        <w:rPr>
          <w:rFonts w:eastAsia="Times New Roman" w:cs="Arial"/>
          <w:b/>
          <w:shd w:val="clear" w:color="auto" w:fill="FFFFFF"/>
          <w:lang w:eastAsia="it-IT"/>
        </w:rPr>
        <w:t>Fausto Iaccheri,</w:t>
      </w:r>
      <w:r w:rsidRPr="005D7FC6">
        <w:rPr>
          <w:rFonts w:eastAsia="Times New Roman" w:cs="Arial"/>
          <w:shd w:val="clear" w:color="auto" w:fill="FFFFFF"/>
          <w:lang w:eastAsia="it-IT"/>
        </w:rPr>
        <w:t xml:space="preserve"> presidente di </w:t>
      </w:r>
      <w:proofErr w:type="spellStart"/>
      <w:r w:rsidRPr="005D7FC6">
        <w:rPr>
          <w:rFonts w:eastAsia="Times New Roman" w:cs="Arial"/>
          <w:b/>
          <w:i/>
          <w:shd w:val="clear" w:color="auto" w:fill="FFFFFF"/>
          <w:lang w:eastAsia="it-IT"/>
        </w:rPr>
        <w:t>ConLegno</w:t>
      </w:r>
      <w:proofErr w:type="spellEnd"/>
      <w:r w:rsidRPr="005D7FC6">
        <w:rPr>
          <w:rFonts w:eastAsia="Times New Roman" w:cs="Arial"/>
          <w:b/>
          <w:shd w:val="clear" w:color="auto" w:fill="FFFFFF"/>
          <w:lang w:eastAsia="it-IT"/>
        </w:rPr>
        <w:t xml:space="preserve"> (Consorzio Servizi Legno e Sughero)</w:t>
      </w:r>
      <w:r w:rsidRPr="005D7FC6">
        <w:rPr>
          <w:rFonts w:eastAsia="Times New Roman" w:cs="Arial"/>
          <w:shd w:val="clear" w:color="auto" w:fill="FFFFFF"/>
          <w:lang w:eastAsia="it-IT"/>
        </w:rPr>
        <w:t xml:space="preserve"> – I dati del </w:t>
      </w:r>
      <w:r w:rsidRPr="005D7FC6">
        <w:rPr>
          <w:rFonts w:eastAsia="Times New Roman" w:cs="Arial"/>
          <w:b/>
          <w:shd w:val="clear" w:color="auto" w:fill="FFFFFF"/>
          <w:lang w:eastAsia="it-IT"/>
        </w:rPr>
        <w:t>secondo trimestre 2017</w:t>
      </w:r>
      <w:r w:rsidRPr="005D7FC6">
        <w:rPr>
          <w:rFonts w:eastAsia="Times New Roman" w:cs="Arial"/>
          <w:shd w:val="clear" w:color="auto" w:fill="FFFFFF"/>
          <w:lang w:eastAsia="it-IT"/>
        </w:rPr>
        <w:t xml:space="preserve"> parlano infatti di un </w:t>
      </w:r>
      <w:r w:rsidRPr="005D7FC6">
        <w:rPr>
          <w:rFonts w:eastAsia="Times New Roman" w:cs="Arial"/>
          <w:b/>
          <w:shd w:val="clear" w:color="auto" w:fill="FFFFFF"/>
          <w:lang w:eastAsia="it-IT"/>
        </w:rPr>
        <w:t>incremento dell’8% della produzione a marchio FITOK</w:t>
      </w:r>
      <w:r w:rsidRPr="005D7FC6">
        <w:rPr>
          <w:rFonts w:eastAsia="Times New Roman" w:cs="Arial"/>
          <w:shd w:val="clear" w:color="auto" w:fill="FFFFFF"/>
          <w:lang w:eastAsia="it-IT"/>
        </w:rPr>
        <w:t xml:space="preserve">, rispetto al medesimo periodo dell’anno 2016, e i </w:t>
      </w:r>
      <w:r w:rsidRPr="005D7FC6">
        <w:rPr>
          <w:rFonts w:eastAsia="Times New Roman" w:cs="Arial"/>
          <w:b/>
          <w:shd w:val="clear" w:color="auto" w:fill="FFFFFF"/>
          <w:lang w:eastAsia="it-IT"/>
        </w:rPr>
        <w:t xml:space="preserve">volumi trattati negli impianti HT sono aumentati </w:t>
      </w:r>
      <w:r w:rsidRPr="005D7FC6">
        <w:rPr>
          <w:rFonts w:eastAsia="Times New Roman" w:cs="Arial"/>
          <w:b/>
          <w:shd w:val="clear" w:color="auto" w:fill="FFFFFF"/>
          <w:lang w:eastAsia="it-IT"/>
        </w:rPr>
        <w:lastRenderedPageBreak/>
        <w:t>del 20%, quasi 254.000 m</w:t>
      </w:r>
      <w:r w:rsidRPr="005D7FC6">
        <w:rPr>
          <w:rFonts w:eastAsia="Times New Roman" w:cs="Arial"/>
          <w:b/>
          <w:shd w:val="clear" w:color="auto" w:fill="FFFFFF"/>
          <w:vertAlign w:val="superscript"/>
          <w:lang w:eastAsia="it-IT"/>
        </w:rPr>
        <w:t>3</w:t>
      </w:r>
      <w:r w:rsidRPr="005D7FC6">
        <w:rPr>
          <w:rFonts w:eastAsia="Times New Roman" w:cs="Arial"/>
          <w:shd w:val="clear" w:color="auto" w:fill="FFFFFF"/>
          <w:lang w:eastAsia="it-IT"/>
        </w:rPr>
        <w:t xml:space="preserve"> in più rispetto all’anno precedente. Un traguardo importante per il Consorzio ma soprattutto per il nostro Pianeta. Ora occorre intensificare i controlli e formare gli operatori sulle norme”.</w:t>
      </w:r>
    </w:p>
    <w:p w14:paraId="2C94E5FC" w14:textId="77777777" w:rsidR="005D7FC6" w:rsidRPr="005D7FC6" w:rsidRDefault="005D7FC6" w:rsidP="005D7FC6">
      <w:pPr>
        <w:spacing w:after="0"/>
        <w:jc w:val="both"/>
        <w:rPr>
          <w:rFonts w:eastAsia="Times New Roman" w:cs="Arial"/>
          <w:shd w:val="clear" w:color="auto" w:fill="FFFFFF"/>
          <w:lang w:eastAsia="it-IT"/>
        </w:rPr>
      </w:pPr>
      <w:r w:rsidRPr="005D7FC6">
        <w:rPr>
          <w:rFonts w:eastAsia="Times New Roman" w:cs="Arial"/>
          <w:shd w:val="clear" w:color="auto" w:fill="FFFFFF"/>
          <w:lang w:eastAsia="it-IT"/>
        </w:rPr>
        <w:t xml:space="preserve">I dati del secondo trimestre, sommati ai tre mesi precedenti, parlano di un </w:t>
      </w:r>
      <w:r w:rsidRPr="005D7FC6">
        <w:rPr>
          <w:rFonts w:eastAsia="Times New Roman" w:cs="Arial"/>
          <w:b/>
          <w:shd w:val="clear" w:color="auto" w:fill="FFFFFF"/>
          <w:lang w:eastAsia="it-IT"/>
        </w:rPr>
        <w:t>incremento complessivo del 9%</w:t>
      </w:r>
      <w:r w:rsidRPr="005D7FC6">
        <w:rPr>
          <w:rFonts w:eastAsia="Times New Roman" w:cs="Arial"/>
          <w:shd w:val="clear" w:color="auto" w:fill="FFFFFF"/>
          <w:lang w:eastAsia="it-IT"/>
        </w:rPr>
        <w:t xml:space="preserve"> di imballaggi conformi a ISPM-15 nei primi </w:t>
      </w:r>
      <w:r w:rsidRPr="005D7FC6">
        <w:rPr>
          <w:rFonts w:eastAsia="Times New Roman" w:cs="Arial"/>
          <w:b/>
          <w:shd w:val="clear" w:color="auto" w:fill="FFFFFF"/>
          <w:lang w:eastAsia="it-IT"/>
        </w:rPr>
        <w:t>sei mesi del 2017</w:t>
      </w:r>
      <w:r w:rsidRPr="005D7FC6">
        <w:rPr>
          <w:rFonts w:eastAsia="Times New Roman" w:cs="Arial"/>
          <w:shd w:val="clear" w:color="auto" w:fill="FFFFFF"/>
          <w:lang w:eastAsia="it-IT"/>
        </w:rPr>
        <w:t xml:space="preserve">, con più di </w:t>
      </w:r>
      <w:r w:rsidRPr="005D7FC6">
        <w:rPr>
          <w:rFonts w:eastAsia="Times New Roman" w:cs="Arial"/>
          <w:b/>
          <w:shd w:val="clear" w:color="auto" w:fill="FFFFFF"/>
          <w:lang w:eastAsia="it-IT"/>
        </w:rPr>
        <w:t>1.300.000 m</w:t>
      </w:r>
      <w:r w:rsidRPr="005D7FC6">
        <w:rPr>
          <w:rFonts w:eastAsia="Times New Roman" w:cs="Arial"/>
          <w:b/>
          <w:shd w:val="clear" w:color="auto" w:fill="FFFFFF"/>
          <w:vertAlign w:val="superscript"/>
          <w:lang w:eastAsia="it-IT"/>
        </w:rPr>
        <w:t>3</w:t>
      </w:r>
      <w:r w:rsidRPr="005D7FC6">
        <w:rPr>
          <w:rFonts w:eastAsia="Times New Roman" w:cs="Arial"/>
          <w:b/>
          <w:shd w:val="clear" w:color="auto" w:fill="FFFFFF"/>
          <w:lang w:eastAsia="it-IT"/>
        </w:rPr>
        <w:t xml:space="preserve"> di imballaggi a marchio FITOK</w:t>
      </w:r>
      <w:r w:rsidRPr="005D7FC6">
        <w:rPr>
          <w:rFonts w:eastAsia="Times New Roman" w:cs="Arial"/>
          <w:shd w:val="clear" w:color="auto" w:fill="FFFFFF"/>
          <w:lang w:eastAsia="it-IT"/>
        </w:rPr>
        <w:t xml:space="preserve"> di cui oltre </w:t>
      </w:r>
      <w:r w:rsidRPr="005D7FC6">
        <w:rPr>
          <w:rFonts w:eastAsia="Times New Roman" w:cs="Arial"/>
          <w:b/>
          <w:shd w:val="clear" w:color="auto" w:fill="FFFFFF"/>
          <w:lang w:eastAsia="it-IT"/>
        </w:rPr>
        <w:t>480.000 m</w:t>
      </w:r>
      <w:r w:rsidRPr="005D7FC6">
        <w:rPr>
          <w:rFonts w:eastAsia="Times New Roman" w:cs="Arial"/>
          <w:b/>
          <w:shd w:val="clear" w:color="auto" w:fill="FFFFFF"/>
          <w:vertAlign w:val="superscript"/>
          <w:lang w:eastAsia="it-IT"/>
        </w:rPr>
        <w:t>3</w:t>
      </w:r>
      <w:r w:rsidRPr="005D7FC6">
        <w:rPr>
          <w:rFonts w:eastAsia="Times New Roman" w:cs="Arial"/>
          <w:b/>
          <w:shd w:val="clear" w:color="auto" w:fill="FFFFFF"/>
          <w:lang w:eastAsia="it-IT"/>
        </w:rPr>
        <w:t xml:space="preserve"> (+19%) trattati negli impianti HT</w:t>
      </w:r>
      <w:r w:rsidRPr="005D7FC6">
        <w:rPr>
          <w:rFonts w:eastAsia="Times New Roman" w:cs="Arial"/>
          <w:shd w:val="clear" w:color="auto" w:fill="FFFFFF"/>
          <w:lang w:eastAsia="it-IT"/>
        </w:rPr>
        <w:t>.</w:t>
      </w:r>
    </w:p>
    <w:p w14:paraId="6747B535" w14:textId="77777777" w:rsidR="005D7FC6" w:rsidRPr="005D7FC6" w:rsidRDefault="005D7FC6" w:rsidP="005D7FC6">
      <w:pPr>
        <w:spacing w:after="0"/>
        <w:jc w:val="both"/>
        <w:rPr>
          <w:rFonts w:eastAsia="Times New Roman" w:cs="Arial"/>
          <w:shd w:val="clear" w:color="auto" w:fill="FFFFFF"/>
          <w:lang w:eastAsia="it-IT"/>
        </w:rPr>
      </w:pPr>
    </w:p>
    <w:p w14:paraId="44FFA917" w14:textId="77777777" w:rsidR="005D7FC6" w:rsidRPr="005D7FC6" w:rsidRDefault="005D7FC6" w:rsidP="005D7FC6">
      <w:pPr>
        <w:spacing w:after="0"/>
        <w:jc w:val="both"/>
        <w:rPr>
          <w:rFonts w:eastAsia="Times New Roman" w:cs="Arial"/>
          <w:b/>
          <w:shd w:val="clear" w:color="auto" w:fill="FFFFFF"/>
          <w:lang w:eastAsia="it-IT"/>
        </w:rPr>
      </w:pPr>
      <w:r w:rsidRPr="005D7FC6">
        <w:rPr>
          <w:rFonts w:eastAsia="Times New Roman" w:cs="Arial"/>
          <w:shd w:val="clear" w:color="auto" w:fill="FFFFFF"/>
          <w:lang w:eastAsia="it-IT"/>
        </w:rPr>
        <w:t xml:space="preserve">Un problema, quello degli insetti alieni, comune a molti </w:t>
      </w:r>
      <w:r w:rsidRPr="005D7FC6">
        <w:rPr>
          <w:rFonts w:eastAsia="Times New Roman" w:cs="Arial"/>
          <w:b/>
          <w:shd w:val="clear" w:color="auto" w:fill="FFFFFF"/>
          <w:lang w:eastAsia="it-IT"/>
        </w:rPr>
        <w:t>Stati membri dell’Unione Europea</w:t>
      </w:r>
      <w:r w:rsidRPr="005D7FC6">
        <w:rPr>
          <w:rFonts w:eastAsia="Times New Roman" w:cs="Arial"/>
          <w:shd w:val="clear" w:color="auto" w:fill="FFFFFF"/>
          <w:lang w:eastAsia="it-IT"/>
        </w:rPr>
        <w:t xml:space="preserve"> che ogni anno registrano complessivamente </w:t>
      </w:r>
      <w:r w:rsidRPr="005D7FC6">
        <w:rPr>
          <w:rFonts w:eastAsia="Times New Roman" w:cs="Arial"/>
          <w:b/>
          <w:shd w:val="clear" w:color="auto" w:fill="FFFFFF"/>
          <w:lang w:eastAsia="it-IT"/>
        </w:rPr>
        <w:t>12,5 miliardi di danni</w:t>
      </w:r>
      <w:r w:rsidRPr="005D7FC6">
        <w:rPr>
          <w:rFonts w:eastAsia="Times New Roman" w:cs="Arial"/>
          <w:shd w:val="clear" w:color="auto" w:fill="FFFFFF"/>
          <w:lang w:eastAsia="it-IT"/>
        </w:rPr>
        <w:t>. Numeri che la Comunità</w:t>
      </w:r>
      <w:r w:rsidRPr="005D7FC6">
        <w:rPr>
          <w:rFonts w:eastAsia="Times New Roman" w:cs="Arial"/>
          <w:b/>
          <w:shd w:val="clear" w:color="auto" w:fill="FFFFFF"/>
          <w:lang w:eastAsia="it-IT"/>
        </w:rPr>
        <w:t xml:space="preserve"> </w:t>
      </w:r>
      <w:r w:rsidRPr="005D7FC6">
        <w:rPr>
          <w:rFonts w:eastAsia="Times New Roman" w:cs="Arial"/>
          <w:shd w:val="clear" w:color="auto" w:fill="FFFFFF"/>
          <w:lang w:eastAsia="it-IT"/>
        </w:rPr>
        <w:t xml:space="preserve">ha deciso di arginare colmando le lacune in materia con un apposito strumento legislativo comunitario che si propone, </w:t>
      </w:r>
      <w:r w:rsidRPr="005D7FC6">
        <w:rPr>
          <w:rFonts w:eastAsia="Times New Roman" w:cs="Arial"/>
          <w:b/>
          <w:shd w:val="clear" w:color="auto" w:fill="FFFFFF"/>
          <w:lang w:eastAsia="it-IT"/>
        </w:rPr>
        <w:t>entro il 2020</w:t>
      </w:r>
      <w:r w:rsidRPr="005D7FC6">
        <w:rPr>
          <w:rFonts w:eastAsia="Times New Roman" w:cs="Arial"/>
          <w:shd w:val="clear" w:color="auto" w:fill="FFFFFF"/>
          <w:lang w:eastAsia="it-IT"/>
        </w:rPr>
        <w:t xml:space="preserve">, di </w:t>
      </w:r>
      <w:r w:rsidRPr="005D7FC6">
        <w:rPr>
          <w:rFonts w:eastAsia="Times New Roman" w:cs="Arial"/>
          <w:b/>
          <w:shd w:val="clear" w:color="auto" w:fill="FFFFFF"/>
          <w:lang w:eastAsia="it-IT"/>
        </w:rPr>
        <w:t>individuare e classificare in ordine di priorità le specie esotiche invasive e i loro vettori, contenere o eradicare le specie prioritarie, gestire i vettori per impedire l’introduzione e l’insediamento di nuove specie.</w:t>
      </w:r>
    </w:p>
    <w:p w14:paraId="1F06B458" w14:textId="77777777" w:rsidR="005D7FC6" w:rsidRPr="005D7FC6" w:rsidRDefault="005D7FC6" w:rsidP="005D7FC6">
      <w:pPr>
        <w:spacing w:after="0"/>
        <w:jc w:val="both"/>
        <w:rPr>
          <w:rFonts w:eastAsia="Times New Roman" w:cs="Arial"/>
          <w:shd w:val="clear" w:color="auto" w:fill="FFFFFF"/>
          <w:lang w:eastAsia="it-IT"/>
        </w:rPr>
      </w:pPr>
    </w:p>
    <w:p w14:paraId="4BD09AB3" w14:textId="77777777" w:rsidR="0062245D" w:rsidRDefault="0062245D"/>
    <w:sectPr w:rsidR="0062245D" w:rsidSect="0062245D">
      <w:headerReference w:type="default" r:id="rId8"/>
      <w:pgSz w:w="11906" w:h="16838"/>
      <w:pgMar w:top="1809" w:right="1134" w:bottom="22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0F1F9" w14:textId="77777777" w:rsidR="001161DA" w:rsidRDefault="001161DA" w:rsidP="007D32EC">
      <w:pPr>
        <w:spacing w:after="0" w:line="240" w:lineRule="auto"/>
      </w:pPr>
      <w:r>
        <w:separator/>
      </w:r>
    </w:p>
  </w:endnote>
  <w:endnote w:type="continuationSeparator" w:id="0">
    <w:p w14:paraId="11635F87" w14:textId="77777777" w:rsidR="001161DA" w:rsidRDefault="001161DA" w:rsidP="007D3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30A85" w14:textId="77777777" w:rsidR="001161DA" w:rsidRDefault="001161DA" w:rsidP="007D32EC">
      <w:pPr>
        <w:spacing w:after="0" w:line="240" w:lineRule="auto"/>
      </w:pPr>
      <w:r>
        <w:separator/>
      </w:r>
    </w:p>
  </w:footnote>
  <w:footnote w:type="continuationSeparator" w:id="0">
    <w:p w14:paraId="388ACE87" w14:textId="77777777" w:rsidR="001161DA" w:rsidRDefault="001161DA" w:rsidP="007D3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337B1" w14:textId="60E89982" w:rsidR="007D32EC" w:rsidRPr="007D32EC" w:rsidRDefault="008E7A8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56560198" wp14:editId="688F86D1">
          <wp:simplePos x="0" y="0"/>
          <wp:positionH relativeFrom="column">
            <wp:posOffset>-735965</wp:posOffset>
          </wp:positionH>
          <wp:positionV relativeFrom="paragraph">
            <wp:posOffset>-464185</wp:posOffset>
          </wp:positionV>
          <wp:extent cx="7594167" cy="10744200"/>
          <wp:effectExtent l="0" t="0" r="635" b="0"/>
          <wp:wrapNone/>
          <wp:docPr id="24" name="Immagine 24" descr="Macintosh HD:Users:loredana:Desktop:FEVER WORKS:CONLEGNO:Nuova carta intestata:Intestata-Conlegno-Pre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oredana:Desktop:FEVER WORKS:CONLEGNO:Nuova carta intestata:Intestata-Conlegno-Pre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167" cy="1074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82259"/>
    <w:multiLevelType w:val="hybridMultilevel"/>
    <w:tmpl w:val="47027A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EC"/>
    <w:rsid w:val="00020914"/>
    <w:rsid w:val="000625C0"/>
    <w:rsid w:val="000F55DB"/>
    <w:rsid w:val="001161DA"/>
    <w:rsid w:val="003F2DF0"/>
    <w:rsid w:val="004346A2"/>
    <w:rsid w:val="004C776B"/>
    <w:rsid w:val="00503B27"/>
    <w:rsid w:val="00521F88"/>
    <w:rsid w:val="00567D46"/>
    <w:rsid w:val="005D7FC6"/>
    <w:rsid w:val="0062245D"/>
    <w:rsid w:val="007B46C4"/>
    <w:rsid w:val="007C33B9"/>
    <w:rsid w:val="007D32EC"/>
    <w:rsid w:val="00853AFC"/>
    <w:rsid w:val="008E7A8E"/>
    <w:rsid w:val="008F7AF8"/>
    <w:rsid w:val="00AE1804"/>
    <w:rsid w:val="00BE2930"/>
    <w:rsid w:val="00D715E2"/>
    <w:rsid w:val="00E318AF"/>
    <w:rsid w:val="00F8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A244D31"/>
  <w15:docId w15:val="{E11B9D92-5387-4D2F-AB71-78651A5E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224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32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32EC"/>
  </w:style>
  <w:style w:type="paragraph" w:styleId="Pidipagina">
    <w:name w:val="footer"/>
    <w:basedOn w:val="Normale"/>
    <w:link w:val="PidipaginaCarattere"/>
    <w:uiPriority w:val="99"/>
    <w:unhideWhenUsed/>
    <w:rsid w:val="007D32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2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3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3C0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2245D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521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21F88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9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AECD1-C6D9-497A-83B3-502EC3AC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Diana Nebel</cp:lastModifiedBy>
  <cp:revision>3</cp:revision>
  <dcterms:created xsi:type="dcterms:W3CDTF">2017-09-18T09:37:00Z</dcterms:created>
  <dcterms:modified xsi:type="dcterms:W3CDTF">2017-09-18T09:39:00Z</dcterms:modified>
</cp:coreProperties>
</file>